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25 — Personal Essay: Origins and Form — AP English Language</w:t>
      </w:r>
    </w:p>
    <w:p>
      <w:pPr>
        <w:pStyle w:val="Normal"/>
        <w:spacing w:after="60" w:before="60"/>
      </w:pPr>
      <w:r>
        <w:rPr>
          <w:rFonts w:ascii="Arial" w:cs="Arial" w:eastAsia="Arial" w:hAnsi="Arial"/>
          <w:sz w:val="22"/>
          <w:szCs w:val="22"/>
        </w:rPr>
        <w:t xml:space="preserve">Week 25 · Quarter 3 · Week 25 — Personal Essay: Origins and Form</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Distinguish the Montaigne and Bacon essay traditions by analyzing structure, voice, and relationship to certainty</w:t>
      </w:r>
    </w:p>
    <w:p>
      <w:pPr>
        <w:spacing w:after="40" w:before="40"/>
        <w:ind w:left="360"/>
      </w:pPr>
      <w:r>
        <w:rPr>
          <w:rFonts w:ascii="Arial" w:cs="Arial" w:eastAsia="Arial" w:hAnsi="Arial"/>
          <w:sz w:val="22"/>
          <w:szCs w:val="22"/>
        </w:rPr>
        <w:t xml:space="preserve">• Identify ruminative and discursive movement in an essay and explain how digression serves (or fails to serve) the central subject</w:t>
      </w:r>
    </w:p>
    <w:p>
      <w:pPr>
        <w:spacing w:after="40" w:before="40"/>
        <w:ind w:left="360"/>
      </w:pPr>
      <w:r>
        <w:rPr>
          <w:rFonts w:ascii="Arial" w:cs="Arial" w:eastAsia="Arial" w:hAnsi="Arial"/>
          <w:sz w:val="22"/>
          <w:szCs w:val="22"/>
        </w:rPr>
        <w:t xml:space="preserve">• Write a personal essay opening that establishes a question or tension without resolving it, in the Montaigne tradition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Essay</w:t>
      </w:r>
    </w:p>
    <w:p>
      <w:pPr>
        <w:spacing w:after="60" w:before="0"/>
        <w:ind w:left="360"/>
      </w:pPr>
      <w:r>
        <w:rPr>
          <w:rFonts w:ascii="Arial" w:cs="Arial" w:eastAsia="Arial" w:hAnsi="Arial"/>
          <w:sz w:val="22"/>
          <w:szCs w:val="22"/>
        </w:rPr>
        <w:t xml:space="preserve">From French essai (attempt) — a short prose piece exploring a topic from a personal angle, open to revision and digression.</w:t>
      </w:r>
    </w:p>
    <w:p>
      <w:pPr>
        <w:spacing w:after="20" w:before="80"/>
      </w:pPr>
      <w:r>
        <w:rPr>
          <w:rFonts w:ascii="Arial" w:cs="Arial" w:eastAsia="Arial" w:hAnsi="Arial"/>
          <w:b/>
          <w:bCs/>
          <w:sz w:val="22"/>
          <w:szCs w:val="22"/>
        </w:rPr>
        <w:t xml:space="preserve">Montaigne form</w:t>
      </w:r>
    </w:p>
    <w:p>
      <w:pPr>
        <w:spacing w:after="60" w:before="0"/>
        <w:ind w:left="360"/>
      </w:pPr>
      <w:r>
        <w:rPr>
          <w:rFonts w:ascii="Arial" w:cs="Arial" w:eastAsia="Arial" w:hAnsi="Arial"/>
          <w:sz w:val="22"/>
          <w:szCs w:val="22"/>
        </w:rPr>
        <w:t xml:space="preserve">The exploratory essay tradition: personal, digressive, organized around thinking rather than arguing, willing to end in a question.</w:t>
      </w:r>
    </w:p>
    <w:p>
      <w:pPr>
        <w:spacing w:after="20" w:before="80"/>
      </w:pPr>
      <w:r>
        <w:rPr>
          <w:rFonts w:ascii="Arial" w:cs="Arial" w:eastAsia="Arial" w:hAnsi="Arial"/>
          <w:b/>
          <w:bCs/>
          <w:sz w:val="22"/>
          <w:szCs w:val="22"/>
        </w:rPr>
        <w:t xml:space="preserve">Baconian essay</w:t>
      </w:r>
    </w:p>
    <w:p>
      <w:pPr>
        <w:spacing w:after="60" w:before="0"/>
        <w:ind w:left="360"/>
      </w:pPr>
      <w:r>
        <w:rPr>
          <w:rFonts w:ascii="Arial" w:cs="Arial" w:eastAsia="Arial" w:hAnsi="Arial"/>
          <w:sz w:val="22"/>
          <w:szCs w:val="22"/>
        </w:rPr>
        <w:t xml:space="preserve">The aphoristic essay tradition: compressed, prescriptive, authoritative — arriving at conclusions rather than holding questions open.</w:t>
      </w:r>
    </w:p>
    <w:p>
      <w:pPr>
        <w:spacing w:after="20" w:before="80"/>
      </w:pPr>
      <w:r>
        <w:rPr>
          <w:rFonts w:ascii="Arial" w:cs="Arial" w:eastAsia="Arial" w:hAnsi="Arial"/>
          <w:b/>
          <w:bCs/>
          <w:sz w:val="22"/>
          <w:szCs w:val="22"/>
        </w:rPr>
        <w:t xml:space="preserve">Aphorism</w:t>
      </w:r>
    </w:p>
    <w:p>
      <w:pPr>
        <w:spacing w:after="60" w:before="0"/>
        <w:ind w:left="360"/>
      </w:pPr>
      <w:r>
        <w:rPr>
          <w:rFonts w:ascii="Arial" w:cs="Arial" w:eastAsia="Arial" w:hAnsi="Arial"/>
          <w:sz w:val="22"/>
          <w:szCs w:val="22"/>
        </w:rPr>
        <w:t xml:space="preserve">A brief, memorable statement of a general truth, compressed into a single sentence and delivered as a verdict.</w:t>
      </w:r>
    </w:p>
    <w:p>
      <w:pPr>
        <w:spacing w:after="20" w:before="80"/>
      </w:pPr>
      <w:r>
        <w:rPr>
          <w:rFonts w:ascii="Arial" w:cs="Arial" w:eastAsia="Arial" w:hAnsi="Arial"/>
          <w:b/>
          <w:bCs/>
          <w:sz w:val="22"/>
          <w:szCs w:val="22"/>
        </w:rPr>
        <w:t xml:space="preserve">Digression</w:t>
      </w:r>
    </w:p>
    <w:p>
      <w:pPr>
        <w:spacing w:after="60" w:before="0"/>
        <w:ind w:left="360"/>
      </w:pPr>
      <w:r>
        <w:rPr>
          <w:rFonts w:ascii="Arial" w:cs="Arial" w:eastAsia="Arial" w:hAnsi="Arial"/>
          <w:sz w:val="22"/>
          <w:szCs w:val="22"/>
        </w:rPr>
        <w:t xml:space="preserve">A departure from the main subject that, in skilled hands, often carries the insight the direct approach cannot reach.</w:t>
      </w:r>
    </w:p>
    <w:p>
      <w:pPr>
        <w:spacing w:after="20" w:before="80"/>
      </w:pPr>
      <w:r>
        <w:rPr>
          <w:rFonts w:ascii="Arial" w:cs="Arial" w:eastAsia="Arial" w:hAnsi="Arial"/>
          <w:b/>
          <w:bCs/>
          <w:sz w:val="22"/>
          <w:szCs w:val="22"/>
        </w:rPr>
        <w:t xml:space="preserve">Ruminative</w:t>
      </w:r>
    </w:p>
    <w:p>
      <w:pPr>
        <w:spacing w:after="60" w:before="0"/>
        <w:ind w:left="360"/>
      </w:pPr>
      <w:r>
        <w:rPr>
          <w:rFonts w:ascii="Arial" w:cs="Arial" w:eastAsia="Arial" w:hAnsi="Arial"/>
          <w:sz w:val="22"/>
          <w:szCs w:val="22"/>
        </w:rPr>
        <w:t xml:space="preserve">Thinking slowly and recursively, returning to the same subject from multiple angles to develop layered understanding.</w:t>
      </w:r>
    </w:p>
    <w:p>
      <w:pPr>
        <w:spacing w:after="20" w:before="80"/>
      </w:pPr>
      <w:r>
        <w:rPr>
          <w:rFonts w:ascii="Arial" w:cs="Arial" w:eastAsia="Arial" w:hAnsi="Arial"/>
          <w:b/>
          <w:bCs/>
          <w:sz w:val="22"/>
          <w:szCs w:val="22"/>
        </w:rPr>
        <w:t xml:space="preserve">Discursive</w:t>
      </w:r>
    </w:p>
    <w:p>
      <w:pPr>
        <w:spacing w:after="60" w:before="0"/>
        <w:ind w:left="360"/>
      </w:pPr>
      <w:r>
        <w:rPr>
          <w:rFonts w:ascii="Arial" w:cs="Arial" w:eastAsia="Arial" w:hAnsi="Arial"/>
          <w:sz w:val="22"/>
          <w:szCs w:val="22"/>
        </w:rPr>
        <w:t xml:space="preserve">Moving freely from topic to topic by association rather than by a predetermined logical structure.</w:t>
      </w:r>
    </w:p>
    <w:p>
      <w:pPr>
        <w:spacing w:after="20" w:before="80"/>
      </w:pPr>
      <w:r>
        <w:rPr>
          <w:rFonts w:ascii="Arial" w:cs="Arial" w:eastAsia="Arial" w:hAnsi="Arial"/>
          <w:b/>
          <w:bCs/>
          <w:sz w:val="22"/>
          <w:szCs w:val="22"/>
        </w:rPr>
        <w:t xml:space="preserve">Epistemological stance</w:t>
      </w:r>
    </w:p>
    <w:p>
      <w:pPr>
        <w:spacing w:after="60" w:before="0"/>
        <w:ind w:left="360"/>
      </w:pPr>
      <w:r>
        <w:rPr>
          <w:rFonts w:ascii="Arial" w:cs="Arial" w:eastAsia="Arial" w:hAnsi="Arial"/>
          <w:sz w:val="22"/>
          <w:szCs w:val="22"/>
        </w:rPr>
        <w:t xml:space="preserve">The writer's claim about how they know what they know — in the personal essay, the authority of personal experience.</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The Essay Form: Two Traditions and What They Demand</w:t>
      </w:r>
    </w:p>
    <w:p>
      <w:pPr>
        <w:pStyle w:val="Normal"/>
        <w:spacing w:after="60" w:before="60"/>
      </w:pPr>
      <w:r>
        <w:rPr>
          <w:rFonts w:ascii="Arial" w:cs="Arial" w:eastAsia="Arial" w:hAnsi="Arial"/>
          <w:sz w:val="22"/>
          <w:szCs w:val="22"/>
        </w:rPr>
        <w:t xml:space="preserve">The essay as a literary form was invented by Michel de Montaigne in sixteenth-century France. The French word essai means attempt, not verdict — and that etymology is the key to understanding the Montaigne tradition. Montaigne's essays are organized not around conclusions but around questions: 'What do I know?' 'How does experience shape character?' 'What is friendship?' He does not answer these questions so much as circle them from multiple angles, revise his first thoughts in light of the second, and often end with more uncertainty than he began with. This recursive, ruminative quality is the defining feature of his tradition.</w:t>
      </w:r>
    </w:p>
    <w:p>
      <w:pPr>
        <w:pStyle w:val="Normal"/>
        <w:spacing w:after="60" w:before="60"/>
      </w:pPr>
      <w:r>
        <w:rPr>
          <w:rFonts w:ascii="Arial" w:cs="Arial" w:eastAsia="Arial" w:hAnsi="Arial"/>
          <w:sz w:val="22"/>
          <w:szCs w:val="22"/>
        </w:rPr>
        <w:t xml:space="preserve">Francis Bacon's English essays, written two generations after Montaigne's, represent a fundamentally different inheritance. Bacon's essays are aphoristic and prescriptive: 'Studies serve for delight, for ornament, and for ability' opens 'Of Studies' — three tight, parallel claims delivered as verdicts, not offered as explorations. Where Montaigne holds questions open, Bacon delivers conclusions. Both are legitimate within the essay form; they are simply doing different things.</w:t>
      </w:r>
    </w:p>
    <w:p>
      <w:pPr>
        <w:pStyle w:val="Normal"/>
        <w:spacing w:after="60" w:before="60"/>
      </w:pPr>
      <w:r>
        <w:rPr>
          <w:rFonts w:ascii="Arial" w:cs="Arial" w:eastAsia="Arial" w:hAnsi="Arial"/>
          <w:sz w:val="22"/>
          <w:szCs w:val="22"/>
        </w:rPr>
        <w:t xml:space="preserve">The Personal Essay in AP Language</w:t>
      </w:r>
    </w:p>
    <w:p>
      <w:pPr>
        <w:pStyle w:val="Normal"/>
        <w:spacing w:after="60" w:before="60"/>
      </w:pPr>
      <w:r>
        <w:rPr>
          <w:rFonts w:ascii="Arial" w:cs="Arial" w:eastAsia="Arial" w:hAnsi="Arial"/>
          <w:sz w:val="22"/>
          <w:szCs w:val="22"/>
        </w:rPr>
        <w:t xml:space="preserve">The personal essay is distinct from the personal narrative. A narrative tells a story with characters, tension, and resolution. The personal essay uses personal perspective as a lens for exploring an idea — the idea is the destination, and the personal angle is the vehicle that gets the reader there. Understanding this distinction prevents the most common failure mode of student personal essays: writing an autobiographical story and hoping it adds up to an argument on its own.</w:t>
      </w:r>
    </w:p>
    <w:p>
      <w:pPr>
        <w:pStyle w:val="Normal"/>
        <w:spacing w:after="60" w:before="60"/>
      </w:pPr>
      <w:r>
        <w:rPr>
          <w:rFonts w:ascii="Arial" w:cs="Arial" w:eastAsia="Arial" w:hAnsi="Arial"/>
          <w:sz w:val="22"/>
          <w:szCs w:val="22"/>
        </w:rPr>
        <w:t xml:space="preserve">Digression and Ruminative Structure</w:t>
      </w:r>
    </w:p>
    <w:p>
      <w:pPr>
        <w:pStyle w:val="Normal"/>
        <w:spacing w:after="60" w:before="60"/>
      </w:pPr>
      <w:r>
        <w:rPr>
          <w:rFonts w:ascii="Arial" w:cs="Arial" w:eastAsia="Arial" w:hAnsi="Arial"/>
          <w:sz w:val="22"/>
          <w:szCs w:val="22"/>
        </w:rPr>
        <w:t xml:space="preserve">The personal essay's apparent looseness is often its greatest structural achievement. A digression that seems to wander far from the subject frequently turns out to carry the insight the direct approach cannot reach. The essay form's willingness to not-know — to think in public — is what makes it a distinct mode with distinct demands.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Montaigne versus Bacon: Montaigne writes about cannibalism and concludes by wondering whether European civilization's judgment of other cultures is less informed by ethics than by familiarity — he ends less certain than he began. Bacon writes 'Of Revenge' and opens: 'Revenge is a kind of wild justice.' The first sentence is a verdict; the essay unpacks it. Montaigne's structure is exploratory; Bacon's is deductive. Both are essays; neither is better — they are doing different things.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Personal essay versus personal narrative: 'The summer I broke my ankle at track practice, my father drove me to every physical therapy appointment. It was the first time we had spent more than twenty minutes alone together in two years.' This is the opening of a narrative — it has characters, setting, and implicit tension. A personal essay would use that same moment as the entry point for an exploration: 'What I understand now about care is that it does not announce itself. It shows up in a car at 7 a.m. without being asked.' Now the personal moment is a lens for an idea about the nature of care.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Ending a personal essay with a neat resolution or a stated lesson — 'And so I learned that family is always there when you need them' closes off the thinking that a personal essay should continue. Montaigne ends with questions; his readers leave still thinking. A tidy moral is the ending of a parable, not a personal essay.</w:t>
      </w:r>
    </w:p>
    <w:p>
      <w:pPr>
        <w:spacing w:after="40" w:before="40"/>
        <w:ind w:left="360"/>
      </w:pPr>
      <w:r>
        <w:rPr>
          <w:rFonts w:ascii="Arial" w:cs="Arial" w:eastAsia="Arial" w:hAnsi="Arial"/>
          <w:sz w:val="22"/>
          <w:szCs w:val="22"/>
        </w:rPr>
        <w:t xml:space="preserve">• Using the personal angle as the subject rather than as the lens — an essay whose subject is 'what happened to me' is a narrative; an essay whose subject is an idea that the personal experience illuminates is a personal essay. The distinction matters for both structure and effect.</w:t>
      </w:r>
    </w:p>
    <w:p>
      <w:pPr>
        <w:spacing w:after="40" w:before="40"/>
        <w:ind w:left="360"/>
      </w:pPr>
      <w:r>
        <w:rPr>
          <w:rFonts w:ascii="Arial" w:cs="Arial" w:eastAsia="Arial" w:hAnsi="Arial"/>
          <w:sz w:val="22"/>
          <w:szCs w:val="22"/>
        </w:rPr>
        <w:t xml:space="preserve">• Digressing without returning — in Montaigne and in the best essayists who follow him, every digression eventually circles back to the opening subject, transformed by what the detour revealed. A digression with no return is not structural looseness — it is an abandoned thought.</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word 'essay' (from French essai) signals what fundamental quality of the form Montaigne established?</w:t>
      </w:r>
    </w:p>
    <w:p>
      <w:pPr>
        <w:spacing w:after="40" w:before="40"/>
        <w:ind w:left="360"/>
      </w:pPr>
      <w:r>
        <w:rPr>
          <w:rFonts w:ascii="Arial" w:cs="Arial" w:eastAsia="Arial" w:hAnsi="Arial"/>
          <w:sz w:val="22"/>
          <w:szCs w:val="22"/>
        </w:rPr>
        <w:t xml:space="preserve">• A. The essay is an attempt at thinking, not a delivery of a finished verdict</w:t>
      </w:r>
    </w:p>
    <w:p>
      <w:pPr>
        <w:spacing w:after="40" w:before="40"/>
        <w:ind w:left="360"/>
      </w:pPr>
      <w:r>
        <w:rPr>
          <w:rFonts w:ascii="Arial" w:cs="Arial" w:eastAsia="Arial" w:hAnsi="Arial"/>
          <w:sz w:val="22"/>
          <w:szCs w:val="22"/>
        </w:rPr>
        <w:t xml:space="preserve">• B. The essay is a shorter form than the treatise or the novel</w:t>
      </w:r>
    </w:p>
    <w:p>
      <w:pPr>
        <w:spacing w:after="40" w:before="40"/>
        <w:ind w:left="360"/>
      </w:pPr>
      <w:r>
        <w:rPr>
          <w:rFonts w:ascii="Arial" w:cs="Arial" w:eastAsia="Arial" w:hAnsi="Arial"/>
          <w:sz w:val="22"/>
          <w:szCs w:val="22"/>
        </w:rPr>
        <w:t xml:space="preserve">• C. The essay must be written in the first person to distinguish it from academic writing</w:t>
      </w:r>
    </w:p>
    <w:p>
      <w:pPr>
        <w:spacing w:after="40" w:before="40"/>
        <w:ind w:left="360"/>
      </w:pPr>
      <w:r>
        <w:rPr>
          <w:rFonts w:ascii="Arial" w:cs="Arial" w:eastAsia="Arial" w:hAnsi="Arial"/>
          <w:sz w:val="22"/>
          <w:szCs w:val="22"/>
        </w:rPr>
        <w:t xml:space="preserve">• D. The essay addresses a single, carefully defined subject without digression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The key difference between the Montaigne and Bacon essay traditions is:</w:t>
      </w:r>
    </w:p>
    <w:p>
      <w:pPr>
        <w:spacing w:after="40" w:before="40"/>
        <w:ind w:left="360"/>
      </w:pPr>
      <w:r>
        <w:rPr>
          <w:rFonts w:ascii="Arial" w:cs="Arial" w:eastAsia="Arial" w:hAnsi="Arial"/>
          <w:sz w:val="22"/>
          <w:szCs w:val="22"/>
        </w:rPr>
        <w:t xml:space="preserve">• A. Montaigne explores questions without resolving them; Bacon delivers compressed verdicts as authoritative claims</w:t>
      </w:r>
    </w:p>
    <w:p>
      <w:pPr>
        <w:spacing w:after="40" w:before="40"/>
        <w:ind w:left="360"/>
      </w:pPr>
      <w:r>
        <w:rPr>
          <w:rFonts w:ascii="Arial" w:cs="Arial" w:eastAsia="Arial" w:hAnsi="Arial"/>
          <w:sz w:val="22"/>
          <w:szCs w:val="22"/>
        </w:rPr>
        <w:t xml:space="preserve">• B. Montaigne writes about nature and the self; Bacon writes about ethics and civic life</w:t>
      </w:r>
    </w:p>
    <w:p>
      <w:pPr>
        <w:spacing w:after="40" w:before="40"/>
        <w:ind w:left="360"/>
      </w:pPr>
      <w:r>
        <w:rPr>
          <w:rFonts w:ascii="Arial" w:cs="Arial" w:eastAsia="Arial" w:hAnsi="Arial"/>
          <w:sz w:val="22"/>
          <w:szCs w:val="22"/>
        </w:rPr>
        <w:t xml:space="preserve">• C. Montaigne uses longer, more complex sentences; Bacon uses simpler, more accessible language</w:t>
      </w:r>
    </w:p>
    <w:p>
      <w:pPr>
        <w:spacing w:after="40" w:before="40"/>
        <w:ind w:left="360"/>
      </w:pPr>
      <w:r>
        <w:rPr>
          <w:rFonts w:ascii="Arial" w:cs="Arial" w:eastAsia="Arial" w:hAnsi="Arial"/>
          <w:sz w:val="22"/>
          <w:szCs w:val="22"/>
        </w:rPr>
        <w:t xml:space="preserve">• D. Montaigne writes in French, which affects the register; Bacon writes in English, which is more direct</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The personal essay differs from the personal narrative primarily in that:</w:t>
      </w:r>
    </w:p>
    <w:p>
      <w:pPr>
        <w:spacing w:after="40" w:before="40"/>
        <w:ind w:left="360"/>
      </w:pPr>
      <w:r>
        <w:rPr>
          <w:rFonts w:ascii="Arial" w:cs="Arial" w:eastAsia="Arial" w:hAnsi="Arial"/>
          <w:sz w:val="22"/>
          <w:szCs w:val="22"/>
        </w:rPr>
        <w:t xml:space="preserve">• A. The personal essay uses personal experience as a lens for exploring an idea; the narrative tells a story for its own sake</w:t>
      </w:r>
    </w:p>
    <w:p>
      <w:pPr>
        <w:spacing w:after="40" w:before="40"/>
        <w:ind w:left="360"/>
      </w:pPr>
      <w:r>
        <w:rPr>
          <w:rFonts w:ascii="Arial" w:cs="Arial" w:eastAsia="Arial" w:hAnsi="Arial"/>
          <w:sz w:val="22"/>
          <w:szCs w:val="22"/>
        </w:rPr>
        <w:t xml:space="preserve">• B. The personal essay is written in present tense; the narrative is written in past tense</w:t>
      </w:r>
    </w:p>
    <w:p>
      <w:pPr>
        <w:spacing w:after="40" w:before="40"/>
        <w:ind w:left="360"/>
      </w:pPr>
      <w:r>
        <w:rPr>
          <w:rFonts w:ascii="Arial" w:cs="Arial" w:eastAsia="Arial" w:hAnsi="Arial"/>
          <w:sz w:val="22"/>
          <w:szCs w:val="22"/>
        </w:rPr>
        <w:t xml:space="preserve">• C. The personal essay does not use specific events; it remains at the level of general reflection</w:t>
      </w:r>
    </w:p>
    <w:p>
      <w:pPr>
        <w:spacing w:after="40" w:before="40"/>
        <w:ind w:left="360"/>
      </w:pPr>
      <w:r>
        <w:rPr>
          <w:rFonts w:ascii="Arial" w:cs="Arial" w:eastAsia="Arial" w:hAnsi="Arial"/>
          <w:sz w:val="22"/>
          <w:szCs w:val="22"/>
        </w:rPr>
        <w:t xml:space="preserve">• D. The personal essay must arrive at a thesis that the personal narrative does not require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Ruminative thinking in the essay tradition means:</w:t>
      </w:r>
    </w:p>
    <w:p>
      <w:pPr>
        <w:spacing w:after="40" w:before="40"/>
        <w:ind w:left="360"/>
      </w:pPr>
      <w:r>
        <w:rPr>
          <w:rFonts w:ascii="Arial" w:cs="Arial" w:eastAsia="Arial" w:hAnsi="Arial"/>
          <w:sz w:val="22"/>
          <w:szCs w:val="22"/>
        </w:rPr>
        <w:t xml:space="preserve">• A. Returning to the same subject from multiple angles, each pass adding a layer of understanding</w:t>
      </w:r>
    </w:p>
    <w:p>
      <w:pPr>
        <w:spacing w:after="40" w:before="40"/>
        <w:ind w:left="360"/>
      </w:pPr>
      <w:r>
        <w:rPr>
          <w:rFonts w:ascii="Arial" w:cs="Arial" w:eastAsia="Arial" w:hAnsi="Arial"/>
          <w:sz w:val="22"/>
          <w:szCs w:val="22"/>
        </w:rPr>
        <w:t xml:space="preserve">• B. Writing quickly without stopping to edit, allowing ideas to surface without censorship</w:t>
      </w:r>
    </w:p>
    <w:p>
      <w:pPr>
        <w:spacing w:after="40" w:before="40"/>
        <w:ind w:left="360"/>
      </w:pPr>
      <w:r>
        <w:rPr>
          <w:rFonts w:ascii="Arial" w:cs="Arial" w:eastAsia="Arial" w:hAnsi="Arial"/>
          <w:sz w:val="22"/>
          <w:szCs w:val="22"/>
        </w:rPr>
        <w:t xml:space="preserve">• C. Selecting the most important point from a series of examples and focusing on it exclusively</w:t>
      </w:r>
    </w:p>
    <w:p>
      <w:pPr>
        <w:spacing w:after="40" w:before="40"/>
        <w:ind w:left="360"/>
      </w:pPr>
      <w:r>
        <w:rPr>
          <w:rFonts w:ascii="Arial" w:cs="Arial" w:eastAsia="Arial" w:hAnsi="Arial"/>
          <w:sz w:val="22"/>
          <w:szCs w:val="22"/>
        </w:rPr>
        <w:t xml:space="preserve">• D. Summarizing each section's findings before moving to the next topic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digression in a personal essay is most valuable when it:</w:t>
      </w:r>
    </w:p>
    <w:p>
      <w:pPr>
        <w:spacing w:after="40" w:before="40"/>
        <w:ind w:left="360"/>
      </w:pPr>
      <w:r>
        <w:rPr>
          <w:rFonts w:ascii="Arial" w:cs="Arial" w:eastAsia="Arial" w:hAnsi="Arial"/>
          <w:sz w:val="22"/>
          <w:szCs w:val="22"/>
        </w:rPr>
        <w:t xml:space="preserve">• A. Returns to and transforms the opening subject, carrying insight the direct approach could not reach</w:t>
      </w:r>
    </w:p>
    <w:p>
      <w:pPr>
        <w:spacing w:after="40" w:before="40"/>
        <w:ind w:left="360"/>
      </w:pPr>
      <w:r>
        <w:rPr>
          <w:rFonts w:ascii="Arial" w:cs="Arial" w:eastAsia="Arial" w:hAnsi="Arial"/>
          <w:sz w:val="22"/>
          <w:szCs w:val="22"/>
        </w:rPr>
        <w:t xml:space="preserve">• B. Provides a definition or historical context that establishes the writer's expertise</w:t>
      </w:r>
    </w:p>
    <w:p>
      <w:pPr>
        <w:spacing w:after="40" w:before="40"/>
        <w:ind w:left="360"/>
      </w:pPr>
      <w:r>
        <w:rPr>
          <w:rFonts w:ascii="Arial" w:cs="Arial" w:eastAsia="Arial" w:hAnsi="Arial"/>
          <w:sz w:val="22"/>
          <w:szCs w:val="22"/>
        </w:rPr>
        <w:t xml:space="preserve">• C. Shifts the essay away from a personal subject toward more objective, verifiable material</w:t>
      </w:r>
    </w:p>
    <w:p>
      <w:pPr>
        <w:spacing w:after="40" w:before="40"/>
        <w:ind w:left="360"/>
      </w:pPr>
      <w:r>
        <w:rPr>
          <w:rFonts w:ascii="Arial" w:cs="Arial" w:eastAsia="Arial" w:hAnsi="Arial"/>
          <w:sz w:val="22"/>
          <w:szCs w:val="22"/>
        </w:rPr>
        <w:t xml:space="preserve">• D. Allows the writer to address a second, unrelated subject without requiring a new essay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w:t>
      </w:r>
    </w:p>
    <w:p>
      <w:pPr>
        <w:pStyle w:val="Normal"/>
        <w:spacing w:after="60" w:before="60"/>
      </w:pPr>
      <w:r>
        <w:rPr>
          <w:rFonts w:ascii="Arial" w:cs="Arial" w:eastAsia="Arial" w:hAnsi="Arial"/>
          <w:sz w:val="22"/>
          <w:szCs w:val="22"/>
        </w:rPr>
        <w:t xml:space="preserve">2. A</w:t>
      </w:r>
    </w:p>
    <w:p>
      <w:pPr>
        <w:pStyle w:val="Normal"/>
        <w:spacing w:after="60" w:before="60"/>
      </w:pPr>
      <w:r>
        <w:rPr>
          <w:rFonts w:ascii="Arial" w:cs="Arial" w:eastAsia="Arial" w:hAnsi="Arial"/>
          <w:sz w:val="22"/>
          <w:szCs w:val="22"/>
        </w:rPr>
        <w:t xml:space="preserve">3. A</w:t>
      </w:r>
    </w:p>
    <w:p>
      <w:pPr>
        <w:pStyle w:val="Normal"/>
        <w:spacing w:after="60" w:before="60"/>
      </w:pPr>
      <w:r>
        <w:rPr>
          <w:rFonts w:ascii="Arial" w:cs="Arial" w:eastAsia="Arial" w:hAnsi="Arial"/>
          <w:sz w:val="22"/>
          <w:szCs w:val="22"/>
        </w:rPr>
        <w:t xml:space="preserve">4. A</w:t>
      </w:r>
    </w:p>
    <w:p>
      <w:pPr>
        <w:pStyle w:val="Normal"/>
        <w:spacing w:after="60" w:before="60"/>
      </w:pPr>
      <w:r>
        <w:rPr>
          <w:rFonts w:ascii="Arial" w:cs="Arial" w:eastAsia="Arial" w:hAnsi="Arial"/>
          <w:sz w:val="22"/>
          <w:szCs w:val="22"/>
        </w:rPr>
        <w:t xml:space="preserve">5. A</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2027-03-08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25 — Personal Essay: Origins and Form — AP English Language</dc:title>
  <dc:creator>StayTalentReady / 25 Alpha LLC</dc:creator>
  <dc:description>Study notes for AP English Language Week of 2027-03-08</dc:description>
  <cp:lastModifiedBy>Un-named</cp:lastModifiedBy>
  <cp:revision>1</cp:revision>
  <dcterms:created xsi:type="dcterms:W3CDTF">2026-09-24T06:50:21.053Z</dcterms:created>
  <dcterms:modified xsi:type="dcterms:W3CDTF">2026-09-24T06:50:21.053Z</dcterms:modified>
</cp:coreProperties>
</file>

<file path=docProps/custom.xml><?xml version="1.0" encoding="utf-8"?>
<Properties xmlns="http://schemas.openxmlformats.org/officeDocument/2006/custom-properties" xmlns:vt="http://schemas.openxmlformats.org/officeDocument/2006/docPropsVTypes"/>
</file>