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28 — Personal Essay: Social Commentary (Didion) — AP English Language</w:t>
      </w:r>
    </w:p>
    <w:p>
      <w:pPr>
        <w:pStyle w:val="Normal"/>
        <w:spacing w:after="60" w:before="60"/>
      </w:pPr>
      <w:r>
        <w:rPr>
          <w:rFonts w:ascii="Arial" w:cs="Arial" w:eastAsia="Arial" w:hAnsi="Arial"/>
          <w:sz w:val="22"/>
          <w:szCs w:val="22"/>
        </w:rPr>
        <w:t xml:space="preserve">Week 28 · Quarter 4 · Week 28 — Personal Essay: Social Commentary (Didion)</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Analyze Didion's method of using a specific personal or cultural scene to diagnose broader social conditions</w:t>
      </w:r>
    </w:p>
    <w:p>
      <w:pPr>
        <w:spacing w:after="40" w:before="40"/>
        <w:ind w:left="360"/>
      </w:pPr>
      <w:r>
        <w:rPr>
          <w:rFonts w:ascii="Arial" w:cs="Arial" w:eastAsia="Arial" w:hAnsi="Arial"/>
          <w:sz w:val="22"/>
          <w:szCs w:val="22"/>
        </w:rPr>
        <w:t xml:space="preserve">• Identify trenchant and sardonic language in a passage and explain its rhetorical function</w:t>
      </w:r>
    </w:p>
    <w:p>
      <w:pPr>
        <w:spacing w:after="40" w:before="40"/>
        <w:ind w:left="360"/>
      </w:pPr>
      <w:r>
        <w:rPr>
          <w:rFonts w:ascii="Arial" w:cs="Arial" w:eastAsia="Arial" w:hAnsi="Arial"/>
          <w:sz w:val="22"/>
          <w:szCs w:val="22"/>
        </w:rPr>
        <w:t xml:space="preserve">• Write a social commentary paragraph using Didion's particular-to-cultural expansion method</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Social commentary</w:t>
      </w:r>
    </w:p>
    <w:p>
      <w:pPr>
        <w:spacing w:after="60" w:before="0"/>
        <w:ind w:left="360"/>
      </w:pPr>
      <w:r>
        <w:rPr>
          <w:rFonts w:ascii="Arial" w:cs="Arial" w:eastAsia="Arial" w:hAnsi="Arial"/>
          <w:sz w:val="22"/>
          <w:szCs w:val="22"/>
        </w:rPr>
        <w:t xml:space="preserve">Writing that uses a personal, cultural, or artistic subject as an entry point for analyzing broader social conditions.</w:t>
      </w:r>
    </w:p>
    <w:p>
      <w:pPr>
        <w:spacing w:after="20" w:before="80"/>
      </w:pPr>
      <w:r>
        <w:rPr>
          <w:rFonts w:ascii="Arial" w:cs="Arial" w:eastAsia="Arial" w:hAnsi="Arial"/>
          <w:b/>
          <w:bCs/>
          <w:sz w:val="22"/>
          <w:szCs w:val="22"/>
        </w:rPr>
        <w:t xml:space="preserve">Cultural diagnosis</w:t>
      </w:r>
    </w:p>
    <w:p>
      <w:pPr>
        <w:spacing w:after="60" w:before="0"/>
        <w:ind w:left="360"/>
      </w:pPr>
      <w:r>
        <w:rPr>
          <w:rFonts w:ascii="Arial" w:cs="Arial" w:eastAsia="Arial" w:hAnsi="Arial"/>
          <w:sz w:val="22"/>
          <w:szCs w:val="22"/>
        </w:rPr>
        <w:t xml:space="preserve">The identification of the underlying condition or dysfunction that explains what appears on the surface of a cultural scene.</w:t>
      </w:r>
    </w:p>
    <w:p>
      <w:pPr>
        <w:spacing w:after="20" w:before="80"/>
      </w:pPr>
      <w:r>
        <w:rPr>
          <w:rFonts w:ascii="Arial" w:cs="Arial" w:eastAsia="Arial" w:hAnsi="Arial"/>
          <w:b/>
          <w:bCs/>
          <w:sz w:val="22"/>
          <w:szCs w:val="22"/>
        </w:rPr>
        <w:t xml:space="preserve">Trenchant</w:t>
      </w:r>
    </w:p>
    <w:p>
      <w:pPr>
        <w:spacing w:after="60" w:before="0"/>
        <w:ind w:left="360"/>
      </w:pPr>
      <w:r>
        <w:rPr>
          <w:rFonts w:ascii="Arial" w:cs="Arial" w:eastAsia="Arial" w:hAnsi="Arial"/>
          <w:sz w:val="22"/>
          <w:szCs w:val="22"/>
        </w:rPr>
        <w:t xml:space="preserve">Cutting sharply and directly to the essential truth; incisive without softening or qualification.</w:t>
      </w:r>
    </w:p>
    <w:p>
      <w:pPr>
        <w:spacing w:after="20" w:before="80"/>
      </w:pPr>
      <w:r>
        <w:rPr>
          <w:rFonts w:ascii="Arial" w:cs="Arial" w:eastAsia="Arial" w:hAnsi="Arial"/>
          <w:b/>
          <w:bCs/>
          <w:sz w:val="22"/>
          <w:szCs w:val="22"/>
        </w:rPr>
        <w:t xml:space="preserve">Sardonic</w:t>
      </w:r>
    </w:p>
    <w:p>
      <w:pPr>
        <w:spacing w:after="60" w:before="0"/>
        <w:ind w:left="360"/>
      </w:pPr>
      <w:r>
        <w:rPr>
          <w:rFonts w:ascii="Arial" w:cs="Arial" w:eastAsia="Arial" w:hAnsi="Arial"/>
          <w:sz w:val="22"/>
          <w:szCs w:val="22"/>
        </w:rPr>
        <w:t xml:space="preserve">Bitterly or cynically humorous; shaped by a view that conditions are worse than commonly acknowledged.</w:t>
      </w:r>
    </w:p>
    <w:p>
      <w:pPr>
        <w:spacing w:after="20" w:before="80"/>
      </w:pPr>
      <w:r>
        <w:rPr>
          <w:rFonts w:ascii="Arial" w:cs="Arial" w:eastAsia="Arial" w:hAnsi="Arial"/>
          <w:b/>
          <w:bCs/>
          <w:sz w:val="22"/>
          <w:szCs w:val="22"/>
        </w:rPr>
        <w:t xml:space="preserve">Form enacting argument</w:t>
      </w:r>
    </w:p>
    <w:p>
      <w:pPr>
        <w:spacing w:after="60" w:before="0"/>
        <w:ind w:left="360"/>
      </w:pPr>
      <w:r>
        <w:rPr>
          <w:rFonts w:ascii="Arial" w:cs="Arial" w:eastAsia="Arial" w:hAnsi="Arial"/>
          <w:sz w:val="22"/>
          <w:szCs w:val="22"/>
        </w:rPr>
        <w:t xml:space="preserve">When the structure of a piece of writing mirrors the condition it describes — fragmented prose for a fragmented reality.</w:t>
      </w:r>
    </w:p>
    <w:p>
      <w:pPr>
        <w:spacing w:after="20" w:before="80"/>
      </w:pPr>
      <w:r>
        <w:rPr>
          <w:rFonts w:ascii="Arial" w:cs="Arial" w:eastAsia="Arial" w:hAnsi="Arial"/>
          <w:b/>
          <w:bCs/>
          <w:sz w:val="22"/>
          <w:szCs w:val="22"/>
        </w:rPr>
        <w:t xml:space="preserve">Expansion</w:t>
      </w:r>
    </w:p>
    <w:p>
      <w:pPr>
        <w:spacing w:after="60" w:before="0"/>
        <w:ind w:left="360"/>
      </w:pPr>
      <w:r>
        <w:rPr>
          <w:rFonts w:ascii="Arial" w:cs="Arial" w:eastAsia="Arial" w:hAnsi="Arial"/>
          <w:sz w:val="22"/>
          <w:szCs w:val="22"/>
        </w:rPr>
        <w:t xml:space="preserve">The movement in a personal essay from a specific particular outward to the social or cultural conditions it reveals.</w:t>
      </w:r>
    </w:p>
    <w:p>
      <w:pPr>
        <w:spacing w:after="20" w:before="80"/>
      </w:pPr>
      <w:r>
        <w:rPr>
          <w:rFonts w:ascii="Arial" w:cs="Arial" w:eastAsia="Arial" w:hAnsi="Arial"/>
          <w:b/>
          <w:bCs/>
          <w:sz w:val="22"/>
          <w:szCs w:val="22"/>
        </w:rPr>
        <w:t xml:space="preserve">Narrative fragment</w:t>
      </w:r>
    </w:p>
    <w:p>
      <w:pPr>
        <w:spacing w:after="60" w:before="0"/>
        <w:ind w:left="360"/>
      </w:pPr>
      <w:r>
        <w:rPr>
          <w:rFonts w:ascii="Arial" w:cs="Arial" w:eastAsia="Arial" w:hAnsi="Arial"/>
          <w:sz w:val="22"/>
          <w:szCs w:val="22"/>
        </w:rPr>
        <w:t xml:space="preserve">A short, incomplete sentence used structurally to mirror fragmentation in the subject being analyzed.</w:t>
      </w:r>
    </w:p>
    <w:p>
      <w:pPr>
        <w:spacing w:after="20" w:before="80"/>
      </w:pPr>
      <w:r>
        <w:rPr>
          <w:rFonts w:ascii="Arial" w:cs="Arial" w:eastAsia="Arial" w:hAnsi="Arial"/>
          <w:b/>
          <w:bCs/>
          <w:sz w:val="22"/>
          <w:szCs w:val="22"/>
        </w:rPr>
        <w:t xml:space="preserve">Cultural artifact</w:t>
      </w:r>
    </w:p>
    <w:p>
      <w:pPr>
        <w:spacing w:after="60" w:before="0"/>
        <w:ind w:left="360"/>
      </w:pPr>
      <w:r>
        <w:rPr>
          <w:rFonts w:ascii="Arial" w:cs="Arial" w:eastAsia="Arial" w:hAnsi="Arial"/>
          <w:sz w:val="22"/>
          <w:szCs w:val="22"/>
        </w:rPr>
        <w:t xml:space="preserve">A piece of writing that both reveals and is shaped by the specific historical moment of its production.</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Didion's Method: The Particular as Cultural Lens</w:t>
      </w:r>
    </w:p>
    <w:p>
      <w:pPr>
        <w:pStyle w:val="Normal"/>
        <w:spacing w:after="60" w:before="60"/>
      </w:pPr>
      <w:r>
        <w:rPr>
          <w:rFonts w:ascii="Arial" w:cs="Arial" w:eastAsia="Arial" w:hAnsi="Arial"/>
          <w:sz w:val="22"/>
          <w:szCs w:val="22"/>
        </w:rPr>
        <w:t xml:space="preserve">Joan Didion's essays demonstrate the personal essay as a form of cultural diagnosis. Unlike Woolf, who moves from a specific thing to a philosophical claim, Didion moves from a specific cultural scene to the social dysfunction that scene reveals. Her subject is always America — its received narratives, its self-deceptions, its gap between aspiration and reality — but she enters that subject through the specific: a particular place at a particular time, a specific person behaving in a specific way.</w:t>
      </w:r>
    </w:p>
    <w:p>
      <w:pPr>
        <w:pStyle w:val="Normal"/>
        <w:spacing w:after="60" w:before="60"/>
      </w:pPr>
      <w:r>
        <w:rPr>
          <w:rFonts w:ascii="Arial" w:cs="Arial" w:eastAsia="Arial" w:hAnsi="Arial"/>
          <w:sz w:val="22"/>
          <w:szCs w:val="22"/>
        </w:rPr>
        <w:t xml:space="preserve">Didion's Method</w:t>
      </w:r>
    </w:p>
    <w:p>
      <w:pPr>
        <w:pStyle w:val="Normal"/>
        <w:spacing w:after="60" w:before="60"/>
      </w:pPr>
      <w:r>
        <w:rPr>
          <w:rFonts w:ascii="Arial" w:cs="Arial" w:eastAsia="Arial" w:hAnsi="Arial"/>
          <w:sz w:val="22"/>
          <w:szCs w:val="22"/>
        </w:rPr>
        <w:t xml:space="preserve">The structural logic of Didion's essays is: specific scene → expansion → cultural diagnosis. She opens with a concrete, particular, observed moment. A shopping center in Sacramento, a marriage at the end of the sixties, a trip to Hawaii during a period of personal dissolution. Then she expands outward: this particular thing reveals this general condition. The expansion is the essay's argumentative move. 'I think we are well advised to keep on nodding terms with the people we used to be,' she writes in 'On Keeping a Notebook' — and that sentence is both personal and cultural simultaneously.</w:t>
      </w:r>
    </w:p>
    <w:p>
      <w:pPr>
        <w:pStyle w:val="Normal"/>
        <w:spacing w:after="60" w:before="60"/>
      </w:pPr>
      <w:r>
        <w:rPr>
          <w:rFonts w:ascii="Arial" w:cs="Arial" w:eastAsia="Arial" w:hAnsi="Arial"/>
          <w:sz w:val="22"/>
          <w:szCs w:val="22"/>
        </w:rPr>
        <w:t xml:space="preserve">Trenchant and Sardonic Tone</w:t>
      </w:r>
    </w:p>
    <w:p>
      <w:pPr>
        <w:pStyle w:val="Normal"/>
        <w:spacing w:after="60" w:before="60"/>
      </w:pPr>
      <w:r>
        <w:rPr>
          <w:rFonts w:ascii="Arial" w:cs="Arial" w:eastAsia="Arial" w:hAnsi="Arial"/>
          <w:sz w:val="22"/>
          <w:szCs w:val="22"/>
        </w:rPr>
        <w:t xml:space="preserve">Didion's social commentary is trenchant — it cuts directly to the essential truth without softening. And it is sardonic — bitterly humorous, driven by a view that conditions are worse than they are commonly acknowledged to be. These tonal qualities are not decoration; they are the argumentative stance. A writer who softens Didion's observations into balanced, qualified analysis has removed the cultural diagnosis and replaced it with journalism.</w:t>
      </w:r>
    </w:p>
    <w:p>
      <w:pPr>
        <w:pStyle w:val="Normal"/>
        <w:spacing w:after="60" w:before="60"/>
      </w:pPr>
      <w:r>
        <w:rPr>
          <w:rFonts w:ascii="Arial" w:cs="Arial" w:eastAsia="Arial" w:hAnsi="Arial"/>
          <w:sz w:val="22"/>
          <w:szCs w:val="22"/>
        </w:rPr>
        <w:t xml:space="preserve">Form Enacting Argument</w:t>
      </w:r>
    </w:p>
    <w:p>
      <w:pPr>
        <w:pStyle w:val="Normal"/>
        <w:spacing w:after="60" w:before="60"/>
      </w:pPr>
      <w:r>
        <w:rPr>
          <w:rFonts w:ascii="Arial" w:cs="Arial" w:eastAsia="Arial" w:hAnsi="Arial"/>
          <w:sz w:val="22"/>
          <w:szCs w:val="22"/>
        </w:rPr>
        <w:t xml:space="preserve">Didion uses narrative fragments — short, declarative sentences, sometimes incomplete — as structural choices. In 'The White Album,' the fragmented prose mirrors the fragmented conditions she describes. This is form enacting argument: the structure of the writing performs what it is analyzing.</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Expansion from particular to cultural: Didion opens 'On Going Home' in her childhood bedroom in California, unable to explain to her husband what she means by 'home' because the word carries different content for each of them. The expansion: 'Home is a word that describes a complicated web of connections and a complicated history of having been somewhere, of having come from somewhere, of recognizing a particular smell and a particular quality of light — and for many of us it is a word we have lost the ability to use without argument.' The opening scene is particular; the diagnosis is cultural: Americans of her generation cannot share the word 'home' because they do not share the same history of place.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Identifying sardonic and trenchant language: In 'Slouching Towards Bethlehem,' Didion describes the Haight-Ashbury scene with its young inhabitants: 'They are talking about love and the 5 percent truth in everything. But I sense that they are talking about love in a very special way that precludes the giving of love.' Trenchant: 'a very special way that precludes the giving' is the direct cut. Sardonic: the observation that the community most devoted to love is describing something that excludes its practice. The tone argues the case — it is not decoration.</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Writing social commentary that reports without diagnosing — 'Many people in the city are experiencing housing insecurity' is a description, not Didion-method social commentary. The Didion method requires the expansion: this specific scene reveals this general social condition, and here is the mechanism that produced it.</w:t>
      </w:r>
    </w:p>
    <w:p>
      <w:pPr>
        <w:spacing w:after="40" w:before="40"/>
        <w:ind w:left="360"/>
      </w:pPr>
      <w:r>
        <w:rPr>
          <w:rFonts w:ascii="Arial" w:cs="Arial" w:eastAsia="Arial" w:hAnsi="Arial"/>
          <w:sz w:val="22"/>
          <w:szCs w:val="22"/>
        </w:rPr>
        <w:t xml:space="preserve">• Using sardonic or trenchant language without the specific observation that earns it — irony and sharp observation have force when they are grounded in specific, concrete scenes. Irony applied to generalities is cynicism; irony applied to a precisely observed specific scene is social commentary.</w:t>
      </w:r>
    </w:p>
    <w:p>
      <w:pPr>
        <w:spacing w:after="40" w:before="40"/>
        <w:ind w:left="360"/>
      </w:pPr>
      <w:r>
        <w:rPr>
          <w:rFonts w:ascii="Arial" w:cs="Arial" w:eastAsia="Arial" w:hAnsi="Arial"/>
          <w:sz w:val="22"/>
          <w:szCs w:val="22"/>
        </w:rPr>
        <w:t xml:space="preserve">• Separating the form from the argument — Didion's fragments and her compressed sentences are not stylistic accidents; they perform the essay's argument. If you write about fragmentation in smooth, well-structured prose, you have undermined the argument through your form.</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Didion's method for social commentary moves from:</w:t>
      </w:r>
    </w:p>
    <w:p>
      <w:pPr>
        <w:spacing w:after="40" w:before="40"/>
        <w:ind w:left="360"/>
      </w:pPr>
      <w:r>
        <w:rPr>
          <w:rFonts w:ascii="Arial" w:cs="Arial" w:eastAsia="Arial" w:hAnsi="Arial"/>
          <w:sz w:val="22"/>
          <w:szCs w:val="22"/>
        </w:rPr>
        <w:t xml:space="preserve">• A. A specific, concrete cultural scene to the broader social dysfunction it reveals</w:t>
      </w:r>
    </w:p>
    <w:p>
      <w:pPr>
        <w:spacing w:after="40" w:before="40"/>
        <w:ind w:left="360"/>
      </w:pPr>
      <w:r>
        <w:rPr>
          <w:rFonts w:ascii="Arial" w:cs="Arial" w:eastAsia="Arial" w:hAnsi="Arial"/>
          <w:sz w:val="22"/>
          <w:szCs w:val="22"/>
        </w:rPr>
        <w:t xml:space="preserve">• B. A general social observation to the specific personal experience that confirms it</w:t>
      </w:r>
    </w:p>
    <w:p>
      <w:pPr>
        <w:spacing w:after="40" w:before="40"/>
        <w:ind w:left="360"/>
      </w:pPr>
      <w:r>
        <w:rPr>
          <w:rFonts w:ascii="Arial" w:cs="Arial" w:eastAsia="Arial" w:hAnsi="Arial"/>
          <w:sz w:val="22"/>
          <w:szCs w:val="22"/>
        </w:rPr>
        <w:t xml:space="preserve">• C. An abstract cultural diagnosis to the specific scenes and events that caused it</w:t>
      </w:r>
    </w:p>
    <w:p>
      <w:pPr>
        <w:spacing w:after="40" w:before="40"/>
        <w:ind w:left="360"/>
      </w:pPr>
      <w:r>
        <w:rPr>
          <w:rFonts w:ascii="Arial" w:cs="Arial" w:eastAsia="Arial" w:hAnsi="Arial"/>
          <w:sz w:val="22"/>
          <w:szCs w:val="22"/>
        </w:rPr>
        <w:t xml:space="preserve">• D. An analysis of what other critics have said to an original position the essay defends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trenchant observation in Didion's essays is one that:</w:t>
      </w:r>
    </w:p>
    <w:p>
      <w:pPr>
        <w:spacing w:after="40" w:before="40"/>
        <w:ind w:left="360"/>
      </w:pPr>
      <w:r>
        <w:rPr>
          <w:rFonts w:ascii="Arial" w:cs="Arial" w:eastAsia="Arial" w:hAnsi="Arial"/>
          <w:sz w:val="22"/>
          <w:szCs w:val="22"/>
        </w:rPr>
        <w:t xml:space="preserve">• A. Cuts directly to the essential truth of a condition without softening or qualification</w:t>
      </w:r>
    </w:p>
    <w:p>
      <w:pPr>
        <w:spacing w:after="40" w:before="40"/>
        <w:ind w:left="360"/>
      </w:pPr>
      <w:r>
        <w:rPr>
          <w:rFonts w:ascii="Arial" w:cs="Arial" w:eastAsia="Arial" w:hAnsi="Arial"/>
          <w:sz w:val="22"/>
          <w:szCs w:val="22"/>
        </w:rPr>
        <w:t xml:space="preserve">• B. Contains unusually complex syntax that requires multiple readings to parse fully</w:t>
      </w:r>
    </w:p>
    <w:p>
      <w:pPr>
        <w:spacing w:after="40" w:before="40"/>
        <w:ind w:left="360"/>
      </w:pPr>
      <w:r>
        <w:rPr>
          <w:rFonts w:ascii="Arial" w:cs="Arial" w:eastAsia="Arial" w:hAnsi="Arial"/>
          <w:sz w:val="22"/>
          <w:szCs w:val="22"/>
        </w:rPr>
        <w:t xml:space="preserve">• C. References historical or political events to establish the essay's wider context</w:t>
      </w:r>
    </w:p>
    <w:p>
      <w:pPr>
        <w:spacing w:after="40" w:before="40"/>
        <w:ind w:left="360"/>
      </w:pPr>
      <w:r>
        <w:rPr>
          <w:rFonts w:ascii="Arial" w:cs="Arial" w:eastAsia="Arial" w:hAnsi="Arial"/>
          <w:sz w:val="22"/>
          <w:szCs w:val="22"/>
        </w:rPr>
        <w:t xml:space="preserve">• D. Offers a measured, balanced view of a social condition before committing to a position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Form enacting argument in Didion's essays means:</w:t>
      </w:r>
    </w:p>
    <w:p>
      <w:pPr>
        <w:spacing w:after="40" w:before="40"/>
        <w:ind w:left="360"/>
      </w:pPr>
      <w:r>
        <w:rPr>
          <w:rFonts w:ascii="Arial" w:cs="Arial" w:eastAsia="Arial" w:hAnsi="Arial"/>
          <w:sz w:val="22"/>
          <w:szCs w:val="22"/>
        </w:rPr>
        <w:t xml:space="preserve">• A. The structure of the prose — fragments, short declarative sentences — mirrors and performs the condition being analyzed</w:t>
      </w:r>
    </w:p>
    <w:p>
      <w:pPr>
        <w:spacing w:after="40" w:before="40"/>
        <w:ind w:left="360"/>
      </w:pPr>
      <w:r>
        <w:rPr>
          <w:rFonts w:ascii="Arial" w:cs="Arial" w:eastAsia="Arial" w:hAnsi="Arial"/>
          <w:sz w:val="22"/>
          <w:szCs w:val="22"/>
        </w:rPr>
        <w:t xml:space="preserve">• B. The essay's argument is stated explicitly in the first sentence to establish the form of what follows</w:t>
      </w:r>
    </w:p>
    <w:p>
      <w:pPr>
        <w:spacing w:after="40" w:before="40"/>
        <w:ind w:left="360"/>
      </w:pPr>
      <w:r>
        <w:rPr>
          <w:rFonts w:ascii="Arial" w:cs="Arial" w:eastAsia="Arial" w:hAnsi="Arial"/>
          <w:sz w:val="22"/>
          <w:szCs w:val="22"/>
        </w:rPr>
        <w:t xml:space="preserve">• C. The essay uses an established form (like the five-paragraph essay) because that form is most effective for cultural criticism</w:t>
      </w:r>
    </w:p>
    <w:p>
      <w:pPr>
        <w:spacing w:after="40" w:before="40"/>
        <w:ind w:left="360"/>
      </w:pPr>
      <w:r>
        <w:rPr>
          <w:rFonts w:ascii="Arial" w:cs="Arial" w:eastAsia="Arial" w:hAnsi="Arial"/>
          <w:sz w:val="22"/>
          <w:szCs w:val="22"/>
        </w:rPr>
        <w:t xml:space="preserve">• D. The visual layout of the essay on the page — spacing, section breaks — communicates the argument visually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Social commentary in the personal essay tradition differs from journalism primarily because:</w:t>
      </w:r>
    </w:p>
    <w:p>
      <w:pPr>
        <w:spacing w:after="40" w:before="40"/>
        <w:ind w:left="360"/>
      </w:pPr>
      <w:r>
        <w:rPr>
          <w:rFonts w:ascii="Arial" w:cs="Arial" w:eastAsia="Arial" w:hAnsi="Arial"/>
          <w:sz w:val="22"/>
          <w:szCs w:val="22"/>
        </w:rPr>
        <w:t xml:space="preserve">• A. The essayist interprets what the scene means rather than reporting what happened</w:t>
      </w:r>
    </w:p>
    <w:p>
      <w:pPr>
        <w:spacing w:after="40" w:before="40"/>
        <w:ind w:left="360"/>
      </w:pPr>
      <w:r>
        <w:rPr>
          <w:rFonts w:ascii="Arial" w:cs="Arial" w:eastAsia="Arial" w:hAnsi="Arial"/>
          <w:sz w:val="22"/>
          <w:szCs w:val="22"/>
        </w:rPr>
        <w:t xml:space="preserve">• B. The essayist uses first-person perspective whereas journalism requires third person</w:t>
      </w:r>
    </w:p>
    <w:p>
      <w:pPr>
        <w:spacing w:after="40" w:before="40"/>
        <w:ind w:left="360"/>
      </w:pPr>
      <w:r>
        <w:rPr>
          <w:rFonts w:ascii="Arial" w:cs="Arial" w:eastAsia="Arial" w:hAnsi="Arial"/>
          <w:sz w:val="22"/>
          <w:szCs w:val="22"/>
        </w:rPr>
        <w:t xml:space="preserve">• C. The essayist chooses subjects that are culturally significant rather than currently newsworthy</w:t>
      </w:r>
    </w:p>
    <w:p>
      <w:pPr>
        <w:spacing w:after="40" w:before="40"/>
        <w:ind w:left="360"/>
      </w:pPr>
      <w:r>
        <w:rPr>
          <w:rFonts w:ascii="Arial" w:cs="Arial" w:eastAsia="Arial" w:hAnsi="Arial"/>
          <w:sz w:val="22"/>
          <w:szCs w:val="22"/>
        </w:rPr>
        <w:t xml:space="preserve">• D. The essayist draws on personal experience rather than on documented sources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Didion's sardonic tone is best described as:</w:t>
      </w:r>
    </w:p>
    <w:p>
      <w:pPr>
        <w:spacing w:after="40" w:before="40"/>
        <w:ind w:left="360"/>
      </w:pPr>
      <w:r>
        <w:rPr>
          <w:rFonts w:ascii="Arial" w:cs="Arial" w:eastAsia="Arial" w:hAnsi="Arial"/>
          <w:sz w:val="22"/>
          <w:szCs w:val="22"/>
        </w:rPr>
        <w:t xml:space="preserve">• A. Bitterly humorous, driven by a view that conditions are worse than they are commonly acknowledged to be</w:t>
      </w:r>
    </w:p>
    <w:p>
      <w:pPr>
        <w:spacing w:after="40" w:before="40"/>
        <w:ind w:left="360"/>
      </w:pPr>
      <w:r>
        <w:rPr>
          <w:rFonts w:ascii="Arial" w:cs="Arial" w:eastAsia="Arial" w:hAnsi="Arial"/>
          <w:sz w:val="22"/>
          <w:szCs w:val="22"/>
        </w:rPr>
        <w:t xml:space="preserve">• B. Gently ironic and wry, finding humor in the small contradictions of everyday life</w:t>
      </w:r>
    </w:p>
    <w:p>
      <w:pPr>
        <w:spacing w:after="40" w:before="40"/>
        <w:ind w:left="360"/>
      </w:pPr>
      <w:r>
        <w:rPr>
          <w:rFonts w:ascii="Arial" w:cs="Arial" w:eastAsia="Arial" w:hAnsi="Arial"/>
          <w:sz w:val="22"/>
          <w:szCs w:val="22"/>
        </w:rPr>
        <w:t xml:space="preserve">• C. Openly angry and accusatory, naming specific individuals or institutions as responsible for social conditions</w:t>
      </w:r>
    </w:p>
    <w:p>
      <w:pPr>
        <w:spacing w:after="40" w:before="40"/>
        <w:ind w:left="360"/>
      </w:pPr>
      <w:r>
        <w:rPr>
          <w:rFonts w:ascii="Arial" w:cs="Arial" w:eastAsia="Arial" w:hAnsi="Arial"/>
          <w:sz w:val="22"/>
          <w:szCs w:val="22"/>
        </w:rPr>
        <w:t xml:space="preserve">• D. Detached and clinical, describing social dysfunction without emotional investment</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2027-04-05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28 — Personal Essay: Social Commentary (Didion) — AP English Language</dc:title>
  <dc:creator>StayTalentReady / 25 Alpha LLC</dc:creator>
  <dc:description>Study notes for AP English Language Week of 2027-04-05</dc:description>
  <cp:lastModifiedBy>Un-named</cp:lastModifiedBy>
  <cp:revision>1</cp:revision>
  <dcterms:created xsi:type="dcterms:W3CDTF">2026-09-24T06:50:21.065Z</dcterms:created>
  <dcterms:modified xsi:type="dcterms:W3CDTF">2026-09-24T06:50:21.065Z</dcterms:modified>
</cp:coreProperties>
</file>

<file path=docProps/custom.xml><?xml version="1.0" encoding="utf-8"?>
<Properties xmlns="http://schemas.openxmlformats.org/officeDocument/2006/custom-properties" xmlns:vt="http://schemas.openxmlformats.org/officeDocument/2006/docPropsVTypes"/>
</file>